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1 123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22.06.2026 16:22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